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CA" w:rsidRDefault="002911CA" w:rsidP="00CB3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SUPORT DE CURS </w:t>
      </w:r>
      <w:r w:rsidR="0085052E" w:rsidRPr="002B22AE">
        <w:rPr>
          <w:rFonts w:ascii="Times New Roman" w:hAnsi="Times New Roman" w:cs="Times New Roman"/>
          <w:b/>
          <w:sz w:val="24"/>
          <w:szCs w:val="24"/>
        </w:rPr>
        <w:t>PENTRU ELABORAREA UNEI LUCRĂRI ŞTIINŢIFICE/</w:t>
      </w:r>
      <w:r>
        <w:rPr>
          <w:rFonts w:ascii="Times New Roman" w:hAnsi="Times New Roman" w:cs="Times New Roman"/>
          <w:b/>
          <w:sz w:val="24"/>
          <w:szCs w:val="24"/>
        </w:rPr>
        <w:t>REFERAT/ARTICOL ȘTIINȚIFIC/</w:t>
      </w:r>
    </w:p>
    <w:p w:rsidR="0085052E" w:rsidRPr="002B22AE" w:rsidRDefault="005127E9" w:rsidP="00CB3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STRUCTURA, REDACTAREA ŞI TEHN</w:t>
      </w:r>
      <w:r w:rsidR="0085052E" w:rsidRPr="002B22AE">
        <w:rPr>
          <w:rFonts w:ascii="Times New Roman" w:hAnsi="Times New Roman" w:cs="Times New Roman"/>
          <w:b/>
          <w:sz w:val="24"/>
          <w:szCs w:val="24"/>
        </w:rPr>
        <w:t>O</w:t>
      </w:r>
      <w:r w:rsidR="002911CA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85052E" w:rsidRPr="002B22AE">
        <w:rPr>
          <w:rFonts w:ascii="Times New Roman" w:hAnsi="Times New Roman" w:cs="Times New Roman"/>
          <w:b/>
          <w:sz w:val="24"/>
          <w:szCs w:val="24"/>
        </w:rPr>
        <w:t>REDA</w:t>
      </w:r>
      <w:r w:rsidR="00CB38ED">
        <w:rPr>
          <w:rFonts w:ascii="Times New Roman" w:hAnsi="Times New Roman" w:cs="Times New Roman"/>
          <w:b/>
          <w:sz w:val="24"/>
          <w:szCs w:val="24"/>
        </w:rPr>
        <w:t>CTAREA UNUEI LUCRĂRI ŞTIINŢIFICE</w:t>
      </w:r>
    </w:p>
    <w:tbl>
      <w:tblPr>
        <w:tblStyle w:val="a3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B38ED" w:rsidRPr="002B22AE" w:rsidTr="00CB38ED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CB38ED" w:rsidRPr="002B22AE" w:rsidRDefault="00CB38ED" w:rsidP="00CB38E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>COPERTA</w:t>
            </w:r>
          </w:p>
          <w:p w:rsidR="00CB38ED" w:rsidRPr="002B22AE" w:rsidRDefault="00CB38ED" w:rsidP="00CB38E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ED" w:rsidRPr="002B22AE" w:rsidTr="00CB38ED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CB38ED" w:rsidRDefault="00CB38ED" w:rsidP="00CB38E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Denumirea ministerelor de resort: </w:t>
            </w:r>
          </w:p>
          <w:p w:rsidR="00CB38ED" w:rsidRDefault="00CB38ED" w:rsidP="00CB38ED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MINISTERUL SĂNĂTĂŢII, MUNCII ŞI PROTECŢIEI SOCIALE;</w:t>
            </w:r>
          </w:p>
          <w:p w:rsidR="00CB38ED" w:rsidRDefault="00CB38ED" w:rsidP="00CB38ED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MINISTERUL EDUCAŢIEIE, CULTURII ŞI CERCETĂRII</w:t>
            </w:r>
          </w:p>
          <w:p w:rsidR="00CB38ED" w:rsidRPr="002B22AE" w:rsidRDefault="00CB38ED" w:rsidP="00CB38E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>Denumirea instituţiei de învăţământ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profesional tehnic</w:t>
            </w: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COLEGIUL DE MEDICINĂ BĂLŢI</w:t>
            </w: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8ED" w:rsidRPr="002B22AE" w:rsidRDefault="00CB38ED" w:rsidP="00CB38E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Denumirea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catedrei: CATEDRA DISCIPLINE REALE</w:t>
            </w:r>
          </w:p>
          <w:p w:rsidR="00CB38ED" w:rsidRDefault="00CB38ED" w:rsidP="00CB38E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Programul de studii: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 MEDICAL </w:t>
            </w:r>
          </w:p>
          <w:p w:rsidR="00CB38ED" w:rsidRPr="002B22AE" w:rsidRDefault="00CB38ED" w:rsidP="00CB38E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>Tipul lucră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rii: GHID PRACTIC LA...</w:t>
            </w: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GHID DE EVALUARE...., SUPORT INFORMAŢIONAL LA .....,ETC</w:t>
            </w:r>
          </w:p>
          <w:p w:rsidR="00CB38ED" w:rsidRPr="002B22AE" w:rsidRDefault="00CB38ED" w:rsidP="00CB38E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renumele şi numele autorului: Maia GUŢU;</w:t>
            </w:r>
          </w:p>
          <w:p w:rsidR="00CB38ED" w:rsidRPr="002B22AE" w:rsidRDefault="00CB38ED" w:rsidP="00CB38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luna şi anul ediţiei.</w:t>
            </w:r>
          </w:p>
        </w:tc>
      </w:tr>
    </w:tbl>
    <w:p w:rsidR="00CB38ED" w:rsidRPr="00CB38ED" w:rsidRDefault="00CB38ED" w:rsidP="00CB38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B22AE" w:rsidRPr="002B22AE" w:rsidTr="002B22AE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2B22AE" w:rsidRPr="002B22AE" w:rsidRDefault="002B22AE" w:rsidP="002B22A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PAGINA DE TITLU</w:t>
            </w:r>
          </w:p>
          <w:p w:rsidR="002B22AE" w:rsidRPr="002B22AE" w:rsidRDefault="002B22AE" w:rsidP="002B22AE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51D" w:rsidRPr="002B22AE" w:rsidTr="002B22AE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1E251D" w:rsidRPr="002B22AE" w:rsidRDefault="001E251D" w:rsidP="001E251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>Va conţine, în plus faţă de elementele de pe copertă, titlul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2B22AE">
              <w:rPr>
                <w:rFonts w:ascii="Times New Roman" w:hAnsi="Times New Roman" w:cs="Times New Roman"/>
                <w:b/>
                <w:sz w:val="24"/>
                <w:szCs w:val="24"/>
              </w:rPr>
              <w:t>omplet şi subtitlul lucrării.</w:t>
            </w:r>
          </w:p>
          <w:p w:rsidR="001E251D" w:rsidRDefault="001E251D" w:rsidP="001E2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C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F80">
              <w:rPr>
                <w:rFonts w:ascii="Times New Roman" w:hAnsi="Times New Roman" w:cs="Times New Roman"/>
                <w:b/>
                <w:sz w:val="24"/>
                <w:szCs w:val="24"/>
              </w:rPr>
              <w:t>modelul de tehnoredactare a paginii de titlu se regăseşte în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Anexa 1.</w:t>
            </w:r>
          </w:p>
          <w:p w:rsidR="001E251D" w:rsidRDefault="001E251D" w:rsidP="001E25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Numele/Prenumele, gradul didactic, titlul ştiinţific al recenzenţilor.</w:t>
            </w:r>
          </w:p>
        </w:tc>
      </w:tr>
    </w:tbl>
    <w:p w:rsidR="002B22AE" w:rsidRDefault="002B22AE" w:rsidP="0085052E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C6F80" w:rsidRPr="002B22AE" w:rsidTr="007F7E41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9C6F80" w:rsidRPr="001E251D" w:rsidRDefault="009C6F80" w:rsidP="001E251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PAGINA DE CUPRINS</w:t>
            </w:r>
          </w:p>
          <w:p w:rsidR="009C6F80" w:rsidRPr="002B22AE" w:rsidRDefault="009C6F80" w:rsidP="007F7E4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51D" w:rsidRPr="002B22AE" w:rsidTr="007F7E41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1E251D" w:rsidRDefault="001E251D" w:rsidP="001E251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 apărea imediat după pagina de titlu.</w:t>
            </w:r>
          </w:p>
          <w:p w:rsidR="001E251D" w:rsidRDefault="001E251D" w:rsidP="001E251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va utliza regula structurii pe niveluri:</w:t>
            </w:r>
          </w:p>
          <w:p w:rsid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Capitole</w:t>
            </w:r>
          </w:p>
          <w:p w:rsid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Subcapitole</w:t>
            </w:r>
          </w:p>
          <w:p w:rsid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Paragrafe</w:t>
            </w:r>
          </w:p>
          <w:p w:rsid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Anexe</w:t>
            </w:r>
          </w:p>
          <w:p w:rsid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Bibliografie</w:t>
            </w:r>
          </w:p>
          <w:p w:rsidR="001E251D" w:rsidRDefault="001E251D" w:rsidP="001E251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Regăsite mai apoi în conţinutul propriu-zis al lucrării.</w:t>
            </w:r>
          </w:p>
          <w:p w:rsidR="001E251D" w:rsidRPr="00E15871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Tehnoredactarea acestuia se va face prin trecerea</w:t>
            </w:r>
            <w:r w:rsidRPr="00E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15871">
              <w:rPr>
                <w:rFonts w:ascii="Times New Roman" w:hAnsi="Times New Roman" w:cs="Times New Roman"/>
                <w:b/>
                <w:sz w:val="24"/>
                <w:szCs w:val="24"/>
              </w:rPr>
              <w:t>umărul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ui</w:t>
            </w:r>
            <w:r w:rsidRPr="00E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corespunzător paginii</w:t>
            </w:r>
            <w:r w:rsidRPr="00E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 dreptul titlului capitolelor şi 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871">
              <w:rPr>
                <w:rFonts w:ascii="Times New Roman" w:hAnsi="Times New Roman" w:cs="Times New Roman"/>
                <w:b/>
                <w:sz w:val="24"/>
                <w:szCs w:val="24"/>
              </w:rPr>
              <w:t>subcapitolelor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251D" w:rsidRDefault="001E251D" w:rsidP="001E25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2AE" w:rsidRDefault="002B22AE" w:rsidP="0085052E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15871" w:rsidRPr="002B22AE" w:rsidTr="007F7E41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E15871" w:rsidRPr="00CB38ED" w:rsidRDefault="00E15871" w:rsidP="00CB38E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INTRODUCEREA</w:t>
            </w:r>
          </w:p>
        </w:tc>
      </w:tr>
      <w:tr w:rsidR="001E251D" w:rsidRPr="002B22AE" w:rsidTr="007F7E41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1E251D" w:rsidRPr="001B0EC9" w:rsidRDefault="001E251D" w:rsidP="001E251D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a apărea la începutul lucrării, nefiind nevoie să fie intitulată într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anume fel (i se poate spune simplu „Introducere”).</w:t>
            </w:r>
          </w:p>
          <w:p w:rsidR="001E251D" w:rsidRPr="001B0EC9" w:rsidRDefault="001E251D" w:rsidP="001E2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- se vor menţiona:</w:t>
            </w:r>
          </w:p>
          <w:p w:rsidR="00CB38ED" w:rsidRPr="00CB38ED" w:rsidRDefault="001E251D" w:rsidP="00CB38ED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Motivaţia alegerii temei;</w:t>
            </w:r>
          </w:p>
          <w:p w:rsidR="001E251D" w:rsidRDefault="001E251D" w:rsidP="001E251D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mportanţa şi actualitatea temei;</w:t>
            </w:r>
          </w:p>
          <w:p w:rsidR="001E251D" w:rsidRPr="001B0EC9" w:rsidRDefault="001E251D" w:rsidP="001E251D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Obiectivele urmărite în lucrare;</w:t>
            </w:r>
          </w:p>
          <w:p w:rsidR="001E251D" w:rsidRPr="001B0EC9" w:rsidRDefault="001E251D" w:rsidP="001E251D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rezentarea pe scurt a conţinutului lucrării;</w:t>
            </w:r>
          </w:p>
          <w:p w:rsidR="001E251D" w:rsidRPr="001B0EC9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metodologia de lucru;</w:t>
            </w:r>
          </w:p>
          <w:p w:rsidR="001E251D" w:rsidRDefault="001E251D" w:rsidP="001E251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eventualele dificultăţi întâmpinate în procesul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documentare.</w:t>
            </w:r>
          </w:p>
        </w:tc>
      </w:tr>
    </w:tbl>
    <w:p w:rsidR="002B22AE" w:rsidRPr="001E251D" w:rsidRDefault="002B22AE" w:rsidP="001E25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B0EC9" w:rsidRPr="002B22AE" w:rsidTr="007F7E41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1B0EC9" w:rsidRPr="002B22AE" w:rsidRDefault="001B0EC9" w:rsidP="001E251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CUPRINS/CORPUL LUCRĂRII</w:t>
            </w:r>
          </w:p>
          <w:p w:rsidR="001B0EC9" w:rsidRPr="002B22AE" w:rsidRDefault="001B0EC9" w:rsidP="007F7E4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51D" w:rsidRPr="002B22AE" w:rsidTr="007F7E41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1E251D" w:rsidRPr="00D70F98" w:rsidRDefault="001E251D" w:rsidP="001E251D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>Reprezintă partea cea mai importantă a unei lucrări ştiinţifice şi de aceea va fi foarte riguros structurată pe unităţi de text: capitole, subcapitole, paragrafe, în funcţie de specificul acestuia.</w:t>
            </w:r>
          </w:p>
          <w:p w:rsidR="001E251D" w:rsidRPr="00D70F98" w:rsidRDefault="001E251D" w:rsidP="001E251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Titlurile de capitol vor fi tehnoredactate cu corp 16 bold, vor fi paginate, de preferat,  pe o pagină nouă, urmate fiind de două rânduri albe despărţitoare faţă de textul propriu-zis. </w:t>
            </w:r>
          </w:p>
          <w:p w:rsidR="001E251D" w:rsidRPr="00D70F98" w:rsidRDefault="001E251D" w:rsidP="001E251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>- Titlurile de subcapitol vor fi tehnoredactate cu corp 14 bold, urmate fiind de un rând alb despărţitor faţă de textul propriu-zis.</w:t>
            </w:r>
          </w:p>
          <w:p w:rsidR="001E251D" w:rsidRPr="00D70F98" w:rsidRDefault="001E251D" w:rsidP="001E251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Capitolul va fi numerotat cu cifre arabe, începând cu 1, urmate de punct şi de titlul său: </w:t>
            </w:r>
          </w:p>
          <w:p w:rsidR="001E251D" w:rsidRPr="00D70F98" w:rsidRDefault="001E251D" w:rsidP="001E251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1. Evidenţa cercetării metodologice. </w:t>
            </w:r>
          </w:p>
          <w:p w:rsidR="001E251D" w:rsidRPr="00D70F98" w:rsidRDefault="001E251D" w:rsidP="001E251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1.1. Metodologia cercetării</w:t>
            </w:r>
          </w:p>
          <w:p w:rsidR="001E251D" w:rsidRPr="00D70F98" w:rsidRDefault="001E251D" w:rsidP="001E251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1.1.1 Metoda modernă de cercetare</w:t>
            </w:r>
          </w:p>
          <w:p w:rsidR="001E251D" w:rsidRPr="00D70F98" w:rsidRDefault="001E251D" w:rsidP="001E251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  <w:p w:rsidR="001E251D" w:rsidRPr="00D70F98" w:rsidRDefault="001E251D" w:rsidP="001E251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6. Anexe</w:t>
            </w:r>
          </w:p>
          <w:p w:rsidR="001E251D" w:rsidRPr="00D70F98" w:rsidRDefault="001E251D" w:rsidP="001E251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6.1 Schema cercetării pedagogice</w:t>
            </w:r>
          </w:p>
          <w:p w:rsidR="001E251D" w:rsidRPr="00D70F98" w:rsidRDefault="001E251D" w:rsidP="001E251D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7. Bibliografie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sz w:val="24"/>
                <w:szCs w:val="24"/>
              </w:rPr>
              <w:t>Această jalonare se va regăsită în conţinutul paginii de cuprins.</w:t>
            </w:r>
          </w:p>
        </w:tc>
      </w:tr>
    </w:tbl>
    <w:p w:rsidR="002B22AE" w:rsidRDefault="002B22AE" w:rsidP="0085052E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2AE" w:rsidRDefault="002B22AE" w:rsidP="0085052E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370C2" w:rsidRPr="002B22AE" w:rsidTr="00D70F98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D370C2" w:rsidRPr="002B22AE" w:rsidRDefault="00D370C2" w:rsidP="00D370C2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CONCLUZIILE LUCRĂRII/GHIDULUI</w:t>
            </w:r>
          </w:p>
          <w:p w:rsidR="00D370C2" w:rsidRPr="002B22AE" w:rsidRDefault="00D370C2" w:rsidP="007F7E4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440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06"/>
      </w:tblGrid>
      <w:tr w:rsidR="00D70F98" w:rsidRPr="002B22AE" w:rsidTr="001E251D">
        <w:tc>
          <w:tcPr>
            <w:tcW w:w="9606" w:type="dxa"/>
            <w:shd w:val="clear" w:color="auto" w:fill="C6D9F1" w:themeFill="text2" w:themeFillTint="33"/>
          </w:tcPr>
          <w:p w:rsidR="00D70F98" w:rsidRPr="00D70F98" w:rsidRDefault="00D70F98" w:rsidP="001E251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70F98" w:rsidRPr="002B22AE" w:rsidTr="007F7E41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D70F98" w:rsidRPr="001E251D" w:rsidRDefault="00D70F98" w:rsidP="001E251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CONCLUZIILE LUCRĂRII/GHIDULUI</w:t>
            </w:r>
          </w:p>
          <w:p w:rsidR="00D70F98" w:rsidRPr="002B22AE" w:rsidRDefault="00D70F98" w:rsidP="007F7E4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51D" w:rsidRPr="002B22AE" w:rsidTr="007F7E41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Încheierea lucrării 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cîteva propoziţii de </w:t>
            </w: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>concluzii este obligatorie. 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>permit sintetizarea ideilor autorului şi fixarea lor în memoria celui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vor beneficia de</w:t>
            </w: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lucrarea respectivă. De aceea trebuie evitată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>tendinţa de a include aici idei sau citate noi, care trebuie să intre în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capitolele lucrării. 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>În „Concluzii” nu se vor regăsi decât răspunsurile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>la problemele propuse spre cercetare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/analiză/redare cu scop informaţional sau practic</w:t>
            </w: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 perspectivele deschise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F98">
              <w:rPr>
                <w:rFonts w:ascii="Times New Roman" w:hAnsi="Times New Roman" w:cs="Times New Roman"/>
                <w:b/>
                <w:sz w:val="24"/>
                <w:szCs w:val="24"/>
              </w:rPr>
              <w:t>către aceasta.</w:t>
            </w:r>
          </w:p>
        </w:tc>
      </w:tr>
    </w:tbl>
    <w:p w:rsidR="001D2BF2" w:rsidRPr="001D2BF2" w:rsidRDefault="001D2BF2" w:rsidP="001D2B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E7F9D" w:rsidRPr="002B22AE" w:rsidTr="007F7E41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3E7F9D" w:rsidRPr="002B22AE" w:rsidRDefault="003E7F9D" w:rsidP="00E37D6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BIBLIOGRAFIE</w:t>
            </w:r>
          </w:p>
        </w:tc>
      </w:tr>
      <w:tr w:rsidR="001E251D" w:rsidRPr="002B22AE" w:rsidTr="007F7E41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Cuprinde lista tuturor surselor de informaţie utilizate pentru  redactarea lucrării. </w:t>
            </w:r>
          </w:p>
          <w:p w:rsidR="001E251D" w:rsidRPr="00414344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Cerinţe de tehnoredactare a Surselor Bibliografice, vezi  Anexa 2</w:t>
            </w:r>
          </w:p>
          <w:p w:rsidR="001E251D" w:rsidRDefault="001E251D" w:rsidP="007F7E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F9D" w:rsidRDefault="003E7F9D" w:rsidP="003E7F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1D" w:rsidRDefault="001E251D" w:rsidP="003E7F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1D" w:rsidRDefault="001E251D" w:rsidP="003E7F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1D" w:rsidRDefault="001E251D" w:rsidP="003E7F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14344" w:rsidRPr="002B22AE" w:rsidTr="007F7E41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414344" w:rsidRPr="002B22AE" w:rsidRDefault="00414344" w:rsidP="00E37D6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ANEXE </w:t>
            </w:r>
          </w:p>
        </w:tc>
      </w:tr>
      <w:tr w:rsidR="001E251D" w:rsidRPr="002B22AE" w:rsidTr="007F7E41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44">
              <w:rPr>
                <w:rFonts w:ascii="Times New Roman" w:hAnsi="Times New Roman" w:cs="Times New Roman"/>
                <w:b/>
                <w:sz w:val="24"/>
                <w:szCs w:val="24"/>
              </w:rPr>
              <w:t>Anexele pot avea una sau mai multe pagini, numerotate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414344">
              <w:rPr>
                <w:rFonts w:ascii="Times New Roman" w:hAnsi="Times New Roman" w:cs="Times New Roman"/>
                <w:b/>
                <w:sz w:val="24"/>
                <w:szCs w:val="24"/>
              </w:rPr>
              <w:t>onsecutiv, şi se vor identifica prin menţionarea: anexa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</w:t>
            </w:r>
            <w:r w:rsidRPr="00414344">
              <w:rPr>
                <w:rFonts w:ascii="Times New Roman" w:hAnsi="Times New Roman" w:cs="Times New Roman"/>
                <w:b/>
                <w:sz w:val="24"/>
                <w:szCs w:val="24"/>
              </w:rPr>
              <w:t>.a.m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.d, în partea stângă a paginii; </w:t>
            </w:r>
          </w:p>
          <w:p w:rsid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44">
              <w:rPr>
                <w:rFonts w:ascii="Times New Roman" w:hAnsi="Times New Roman" w:cs="Times New Roman"/>
                <w:b/>
                <w:sz w:val="24"/>
                <w:szCs w:val="24"/>
              </w:rPr>
              <w:t>Este de dorit ca tabelele, figurile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etc. s</w:t>
            </w:r>
            <w:r w:rsidRPr="0044773E">
              <w:rPr>
                <w:rFonts w:ascii="Times New Roman" w:hAnsi="Times New Roman" w:cs="Times New Roman"/>
                <w:b/>
                <w:sz w:val="24"/>
                <w:szCs w:val="24"/>
              </w:rPr>
              <w:t>ă fie incluse în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nexe, iar în textul propriu-zis </w:t>
            </w:r>
            <w:r w:rsidRPr="0044773E">
              <w:rPr>
                <w:rFonts w:ascii="Times New Roman" w:hAnsi="Times New Roman" w:cs="Times New Roman"/>
                <w:b/>
                <w:sz w:val="24"/>
                <w:szCs w:val="24"/>
              </w:rPr>
              <w:t>să rămână doar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44773E">
              <w:rPr>
                <w:rFonts w:ascii="Times New Roman" w:hAnsi="Times New Roman" w:cs="Times New Roman"/>
                <w:b/>
                <w:sz w:val="24"/>
                <w:szCs w:val="24"/>
              </w:rPr>
              <w:t>ele fără de care textul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 sine nu ar avea cursivitate.</w:t>
            </w:r>
          </w:p>
        </w:tc>
      </w:tr>
    </w:tbl>
    <w:p w:rsidR="003E7F9D" w:rsidRDefault="003E7F9D" w:rsidP="004143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4773E" w:rsidRPr="002B22AE" w:rsidTr="007F7E41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44773E" w:rsidRPr="002B22AE" w:rsidRDefault="0044773E" w:rsidP="00E37D6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CERINŢE DE TEHNOREDACTARE</w:t>
            </w:r>
          </w:p>
        </w:tc>
      </w:tr>
      <w:tr w:rsidR="001E251D" w:rsidRPr="002B22AE" w:rsidTr="007F7E41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Paginile lucrării trebuie să aibă dimensiuni standard A4 (21 x 29,7 cm). Textul va fi cules cât mai îngrijit şi va fi tehnoredactat pe o singură faţă a colii de hârtie, fără să fie folosite alte culori pentru evidenţiere.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Formatul de text trebuie să aibă următoarele margini albe: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 stânga: 2,5 cm;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 dreapta: 1,5 cm;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 sus: 2 cm;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 jos: 2 cm;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Textul propriu-zis va fi scris cu litera (font) Times New Roman;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Mărimea corpului de literă (size) fiind de 12 puncte, cu caractere drepte (regular);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Textul va fi imprimat cu spaţiere interliniară (line spacing) la un rând şi jumătate (1,5 linii între rânduri).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Alinierea paragrafelor va fi făcută la ambele capete de rând (Justify).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Se numerotează toate paginile. Coloncifrul plasându-se în spaţiul liber din partea de jos a paginii, în mod centrat (center).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Caracterele bold sau aldinele se vor folosi  pentru evidenţierea textului din pagina de titlu, a titlurilor capitolelor, subcapitolelor, paragrafelor, cuvintelor cheie, noţiunilor, Numelor de personalităţi, etc</w:t>
            </w:r>
          </w:p>
          <w:p w:rsidR="001E251D" w:rsidRPr="001E251D" w:rsidRDefault="001E251D" w:rsidP="001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Caracterele italice sau cursivele vor apărea în scrierea termenilor în limbi străine  şi/sau titlurile operelor.</w:t>
            </w:r>
          </w:p>
        </w:tc>
      </w:tr>
    </w:tbl>
    <w:p w:rsidR="0044773E" w:rsidRPr="00414344" w:rsidRDefault="0044773E" w:rsidP="004143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D42CB" w:rsidRPr="002B22AE" w:rsidTr="001F679D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2D42CB" w:rsidRPr="00E37D61" w:rsidRDefault="00E37D61" w:rsidP="00E37D6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Î. </w:t>
            </w:r>
            <w:r w:rsidR="001E251D" w:rsidRPr="00E37D61">
              <w:rPr>
                <w:rFonts w:ascii="Times New Roman" w:hAnsi="Times New Roman" w:cs="Times New Roman"/>
                <w:b/>
                <w:sz w:val="24"/>
                <w:szCs w:val="24"/>
              </w:rPr>
              <w:t>CORECTARE/RECENZENŢI</w:t>
            </w:r>
          </w:p>
        </w:tc>
      </w:tr>
      <w:tr w:rsidR="001E251D" w:rsidRPr="002B22AE" w:rsidTr="001F679D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1E251D" w:rsidRPr="002D42CB" w:rsidRDefault="001E251D" w:rsidP="001E251D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CB">
              <w:rPr>
                <w:rFonts w:ascii="Times New Roman" w:hAnsi="Times New Roman" w:cs="Times New Roman"/>
                <w:b/>
                <w:sz w:val="24"/>
                <w:szCs w:val="24"/>
              </w:rPr>
              <w:t>Înainte de a fi predată pentru 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luare către Consiliul Ştiinţifico – Metodic  </w:t>
            </w:r>
            <w:r w:rsidRPr="002D42CB">
              <w:rPr>
                <w:rFonts w:ascii="Times New Roman" w:hAnsi="Times New Roman" w:cs="Times New Roman"/>
                <w:b/>
                <w:sz w:val="24"/>
                <w:szCs w:val="24"/>
              </w:rPr>
              <w:t>sau pentru publicare, o lucrare trebuie corectată şi din punctul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2CB">
              <w:rPr>
                <w:rFonts w:ascii="Times New Roman" w:hAnsi="Times New Roman" w:cs="Times New Roman"/>
                <w:b/>
                <w:sz w:val="24"/>
                <w:szCs w:val="24"/>
              </w:rPr>
              <w:t>vedere al respectării normel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ortografice şi de punctuaţie sau din punct de vedere a unui specialist din subdomeniul la care aderă lucrare (ex: Limba engleză cu terminologie medicală – Recenzent: profesoară de limba şi literatură română; </w:t>
            </w:r>
            <w:r w:rsidR="006B07E6">
              <w:rPr>
                <w:rFonts w:ascii="Times New Roman" w:hAnsi="Times New Roman" w:cs="Times New Roman"/>
                <w:b/>
                <w:sz w:val="24"/>
                <w:szCs w:val="24"/>
              </w:rPr>
              <w:t>un medic specialist de domeniu); trebuie discutată la Şedinţa de catedră de profil medical sau liceal.</w:t>
            </w:r>
          </w:p>
          <w:p w:rsidR="001E251D" w:rsidRDefault="001E251D" w:rsidP="001E251D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acest capitol trebuie să se aibă în vedere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 </w:t>
            </w:r>
            <w:r w:rsidRPr="002D42CB">
              <w:rPr>
                <w:rFonts w:ascii="Times New Roman" w:hAnsi="Times New Roman" w:cs="Times New Roman"/>
                <w:b/>
                <w:sz w:val="24"/>
                <w:szCs w:val="24"/>
              </w:rPr>
              <w:t>câteva aspecte:</w:t>
            </w:r>
          </w:p>
          <w:p w:rsidR="001E251D" w:rsidRPr="001E251D" w:rsidRDefault="001E251D" w:rsidP="001E251D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în faza finală a unei lucrări textul trebuie să fie integral printat cu semne diacritice specifice alfabetului limbii utilizate (în cazul lucrărilor scrise în limba română sau franceză/engleză);</w:t>
            </w:r>
          </w:p>
          <w:p w:rsidR="001E251D" w:rsidRPr="006B07E6" w:rsidRDefault="001E251D" w:rsidP="006B07E6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spaţiile de dinaintea sau de după semnele de punctuaţie trebuie uniformizate, astfel încât după virgulă, punct, semn de întrebare şi de exclamare, punct şi</w:t>
            </w:r>
            <w:r w:rsidRPr="006B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virgulă, două puncte se lasă un spaţiu liber;</w:t>
            </w:r>
          </w:p>
          <w:p w:rsidR="001E251D" w:rsidRDefault="001E251D" w:rsidP="001E251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CB">
              <w:rPr>
                <w:rFonts w:ascii="Times New Roman" w:hAnsi="Times New Roman" w:cs="Times New Roman"/>
                <w:b/>
                <w:sz w:val="24"/>
                <w:szCs w:val="24"/>
              </w:rPr>
              <w:t>înainte şi după folosirea liniei de pauză se lasă spaţiu liber.</w:t>
            </w:r>
          </w:p>
        </w:tc>
      </w:tr>
    </w:tbl>
    <w:tbl>
      <w:tblPr>
        <w:tblStyle w:val="a3"/>
        <w:tblpPr w:leftFromText="180" w:rightFromText="180" w:vertAnchor="text" w:horzAnchor="margin" w:tblpY="108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E251D" w:rsidRPr="002B22AE" w:rsidTr="006B07E6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1E251D" w:rsidRPr="002D42CB" w:rsidRDefault="001E251D" w:rsidP="006B07E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PLAGIAT</w:t>
            </w:r>
          </w:p>
        </w:tc>
      </w:tr>
      <w:tr w:rsidR="001E251D" w:rsidRPr="002B22AE" w:rsidTr="006B07E6">
        <w:trPr>
          <w:trHeight w:val="412"/>
        </w:trPr>
        <w:tc>
          <w:tcPr>
            <w:tcW w:w="9606" w:type="dxa"/>
            <w:shd w:val="clear" w:color="auto" w:fill="C6D9F1" w:themeFill="text2" w:themeFillTint="33"/>
          </w:tcPr>
          <w:p w:rsidR="001E251D" w:rsidRPr="003C4D59" w:rsidRDefault="003C4D59" w:rsidP="006B07E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Conform Codului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tică al cadrului didactic, </w:t>
            </w:r>
            <w:r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aprobat prin Ordinul ministrului educaţiei nr. 861 din 07 septembrie 2015 și publicat 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martie în Monitorul Oficial, </w:t>
            </w:r>
            <w:r w:rsidR="001E251D"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“plagiatul sau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D"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însuşirea de către un autor a rezultatelor muncii altui 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D"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(indiferent dacă este vorba de reproducerea exactă a unui text sau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D"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reformularea unei idei cu adevărat originale), fără ca acestea din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D"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urmă să fie menţionate ca sursă a textului sau a ideii respective,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D"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constituie o fraudă intelectuală şi se sancţionează în conformitate cu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51D"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gravitatea pe care o prezintă”.</w:t>
            </w:r>
          </w:p>
          <w:p w:rsidR="001E251D" w:rsidRPr="001E251D" w:rsidRDefault="003C4D59" w:rsidP="006B07E6">
            <w:pPr>
              <w:pStyle w:val="a8"/>
              <w:ind w:lef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E251D"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Plagiatul poate fi voluntar (numit şi plagiat propriu-zis) sau involuntar</w:t>
            </w:r>
          </w:p>
          <w:p w:rsidR="001E251D" w:rsidRPr="001E251D" w:rsidRDefault="001E251D" w:rsidP="006B07E6">
            <w:pPr>
              <w:pStyle w:val="a8"/>
              <w:ind w:lef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(petrecut atunci când se foloseşte greşit sistemul de citare sau nu se</w:t>
            </w:r>
          </w:p>
          <w:p w:rsidR="001E251D" w:rsidRPr="001E251D" w:rsidRDefault="001E251D" w:rsidP="006B07E6">
            <w:pPr>
              <w:pStyle w:val="a8"/>
              <w:ind w:lef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indică sursa unui material).</w:t>
            </w:r>
          </w:p>
          <w:p w:rsidR="001E251D" w:rsidRPr="001E251D" w:rsidRDefault="003C4D59" w:rsidP="006B07E6">
            <w:pPr>
              <w:pStyle w:val="a8"/>
              <w:ind w:lef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E251D"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Constituie cazuri de plagiat:</w:t>
            </w:r>
          </w:p>
          <w:p w:rsidR="001E251D" w:rsidRPr="003C4D59" w:rsidRDefault="001E251D" w:rsidP="006B07E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preluarea unui text al unui autor, indiferent de suportul utilizat</w:t>
            </w:r>
            <w:r w:rsidR="003C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pentru publicare (carte, revistă, pagini web etc), fără utilizarea</w:t>
            </w:r>
            <w:r w:rsidR="003C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ghilimelelor şi a trimiterilor bibliografice;</w:t>
            </w:r>
          </w:p>
          <w:p w:rsidR="001E251D" w:rsidRPr="003C4D59" w:rsidRDefault="001E251D" w:rsidP="006B07E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prezentarea unui citat dintr-un text al unui autor ca parafrază</w:t>
            </w:r>
            <w:r w:rsidR="003C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(repovestirea ideii sau a argumentului), fără utilizarea semnelor</w:t>
            </w:r>
            <w:r w:rsidR="003C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convenţionale de citare (ghilimele şi trimiteri bibliografice);</w:t>
            </w:r>
          </w:p>
          <w:p w:rsidR="001E251D" w:rsidRPr="003C4D59" w:rsidRDefault="001E251D" w:rsidP="006B07E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preluarea unui text fără referinţe clare, cu modificarea topicii, a</w:t>
            </w:r>
            <w:r w:rsidR="003C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unor expresii din cuprinsul său şi/sau inversarea unor paragrafe,</w:t>
            </w:r>
            <w:r w:rsidR="003C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capitole etc;</w:t>
            </w:r>
          </w:p>
          <w:p w:rsidR="001E251D" w:rsidRPr="003C4D59" w:rsidRDefault="001E251D" w:rsidP="006B07E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compilaţia de fragmente din mai multe surse, fără trimiteri</w:t>
            </w:r>
            <w:r w:rsidR="003C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bibliografice clare la textele sursă;</w:t>
            </w:r>
          </w:p>
          <w:p w:rsidR="001E251D" w:rsidRPr="003C4D59" w:rsidRDefault="001E251D" w:rsidP="006B07E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D">
              <w:rPr>
                <w:rFonts w:ascii="Times New Roman" w:hAnsi="Times New Roman" w:cs="Times New Roman"/>
                <w:b/>
                <w:sz w:val="24"/>
                <w:szCs w:val="24"/>
              </w:rPr>
              <w:t>preluarea unui text propriu (lucrare, articol, carte, prelegere) fără</w:t>
            </w:r>
            <w:r w:rsidR="003C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D59">
              <w:rPr>
                <w:rFonts w:ascii="Times New Roman" w:hAnsi="Times New Roman" w:cs="Times New Roman"/>
                <w:b/>
                <w:sz w:val="24"/>
                <w:szCs w:val="24"/>
              </w:rPr>
              <w:t>utilizarea ghilimelelor şi a trimiterilor bibliografice</w:t>
            </w:r>
            <w:r w:rsidR="003C4D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251D" w:rsidRDefault="001E251D" w:rsidP="006B07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51D" w:rsidRDefault="001E251D" w:rsidP="00991A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D8" w:rsidRDefault="003C4D59" w:rsidP="00991A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Bibliografia utilizată:</w:t>
      </w:r>
    </w:p>
    <w:p w:rsidR="00D27217" w:rsidRPr="00D27217" w:rsidRDefault="00D27217" w:rsidP="00D2721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Gagim I., ş.a, Ghid privind elaborarea tezelor de licenţă, tezelor de curs şi lucrărilor de doctorat. Bălţi, 2016</w:t>
      </w:r>
    </w:p>
    <w:p w:rsidR="00D27217" w:rsidRPr="00D27217" w:rsidRDefault="00D27217" w:rsidP="00D27217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Codul de Etică al Republicii Moldova, APROBAT </w:t>
      </w:r>
      <w:r w:rsidRPr="00D27217">
        <w:rPr>
          <w:rFonts w:ascii="Times New Roman" w:hAnsi="Times New Roman" w:cs="Times New Roman"/>
          <w:b/>
          <w:sz w:val="28"/>
          <w:szCs w:val="28"/>
        </w:rPr>
        <w:t>prin Ordinul ministrului educaţiei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217">
        <w:rPr>
          <w:rFonts w:ascii="Times New Roman" w:hAnsi="Times New Roman" w:cs="Times New Roman"/>
          <w:b/>
          <w:sz w:val="28"/>
          <w:szCs w:val="28"/>
        </w:rPr>
        <w:t>nr. 861 din 07 septembrie 2015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7217">
        <w:rPr>
          <w:rFonts w:ascii="Times New Roman" w:hAnsi="Times New Roman" w:cs="Times New Roman"/>
          <w:b/>
          <w:sz w:val="28"/>
          <w:szCs w:val="28"/>
        </w:rPr>
        <w:t>ÎNREGISTRAT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D27217">
        <w:rPr>
          <w:rFonts w:ascii="Times New Roman" w:hAnsi="Times New Roman" w:cs="Times New Roman"/>
          <w:b/>
          <w:sz w:val="28"/>
          <w:szCs w:val="28"/>
        </w:rPr>
        <w:t>ministrul justiţiei al Republicii Moldova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7217">
        <w:rPr>
          <w:rFonts w:ascii="Times New Roman" w:hAnsi="Times New Roman" w:cs="Times New Roman"/>
          <w:b/>
          <w:sz w:val="28"/>
          <w:szCs w:val="28"/>
        </w:rPr>
        <w:t>Vladimir CEBOTARI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7217">
        <w:rPr>
          <w:rFonts w:ascii="Times New Roman" w:hAnsi="Times New Roman" w:cs="Times New Roman"/>
          <w:b/>
          <w:sz w:val="28"/>
          <w:szCs w:val="28"/>
        </w:rPr>
        <w:t>nr. 1103 din 26 februarie 2016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7217">
        <w:rPr>
          <w:rFonts w:ascii="Times New Roman" w:hAnsi="Times New Roman" w:cs="Times New Roman"/>
          <w:b/>
          <w:sz w:val="28"/>
          <w:szCs w:val="28"/>
        </w:rPr>
        <w:t>Monitorul Oficial Nr. 59-67, 18.03.2016</w:t>
      </w:r>
      <w:r>
        <w:rPr>
          <w:rFonts w:ascii="Times New Roman" w:hAnsi="Times New Roman" w:cs="Times New Roman"/>
          <w:b/>
          <w:sz w:val="28"/>
          <w:szCs w:val="28"/>
        </w:rPr>
        <w:t xml:space="preserve">. Disponibil: </w:t>
      </w:r>
      <w:hyperlink r:id="rId8" w:history="1">
        <w:r w:rsidRPr="001D4F50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https://mecc.gov.md/sites/default/files/document/attachments/codul_de_etica_ro_4.pdf</w:t>
        </w:r>
      </w:hyperlink>
    </w:p>
    <w:p w:rsidR="00D27217" w:rsidRPr="00D27217" w:rsidRDefault="003C4D59" w:rsidP="00D27217">
      <w:pPr>
        <w:pStyle w:val="a8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3C4D59">
        <w:rPr>
          <w:rFonts w:ascii="Times New Roman" w:hAnsi="Times New Roman" w:cs="Times New Roman"/>
          <w:b/>
          <w:sz w:val="28"/>
          <w:szCs w:val="28"/>
        </w:rPr>
        <w:t>LEGEA PRIVIND DREPTUL DE AUTOR SI DREPTURILE CONEXE. [on-line] [citat 05.08.2016]. Disponibil: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D27217" w:rsidRPr="001D4F50">
          <w:rPr>
            <w:rStyle w:val="ab"/>
            <w:rFonts w:ascii="Times New Roman" w:hAnsi="Times New Roman" w:cs="Times New Roman"/>
            <w:b/>
            <w:sz w:val="28"/>
            <w:szCs w:val="28"/>
          </w:rPr>
          <w:t>http://lex.justice.md/index.php?action=view&amp;view=doc&amp;lang=1&amp;id=336156</w:t>
        </w:r>
      </w:hyperlink>
    </w:p>
    <w:p w:rsidR="003C4D59" w:rsidRDefault="008A105A" w:rsidP="003C4D5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D27217" w:rsidRPr="001D4F50">
          <w:rPr>
            <w:rStyle w:val="ab"/>
            <w:rFonts w:ascii="Times New Roman" w:hAnsi="Times New Roman" w:cs="Times New Roman"/>
            <w:b/>
            <w:sz w:val="28"/>
            <w:szCs w:val="28"/>
          </w:rPr>
          <w:t>http://www.interculturel.org/wp-content/uploads/2015/03/GHID-ELABORARE-LUCRARI-STIINTIFICE.pdf</w:t>
        </w:r>
      </w:hyperlink>
    </w:p>
    <w:p w:rsidR="002B22AE" w:rsidRPr="006B07E6" w:rsidRDefault="008A105A" w:rsidP="003C4D59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D27217" w:rsidRPr="001D4F50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https://www.bizlaw.md/2017/05/15/ce-facem-cu-plagiatul-cum-se-pedepseste/</w:t>
        </w:r>
      </w:hyperlink>
    </w:p>
    <w:p w:rsidR="002B22AE" w:rsidRDefault="002B22AE" w:rsidP="0085052E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2AE" w:rsidRDefault="002B22AE" w:rsidP="0085052E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504"/>
        <w:tblW w:w="0" w:type="auto"/>
        <w:shd w:val="clear" w:color="auto" w:fill="C0504D" w:themeFill="accent2"/>
        <w:tblLook w:val="04A0" w:firstRow="1" w:lastRow="0" w:firstColumn="1" w:lastColumn="0" w:noHBand="0" w:noVBand="1"/>
      </w:tblPr>
      <w:tblGrid>
        <w:gridCol w:w="9606"/>
      </w:tblGrid>
      <w:tr w:rsidR="002B22AE" w:rsidRPr="002B22AE" w:rsidTr="005127E9">
        <w:trPr>
          <w:trHeight w:val="118"/>
        </w:trPr>
        <w:tc>
          <w:tcPr>
            <w:tcW w:w="9606" w:type="dxa"/>
            <w:shd w:val="clear" w:color="auto" w:fill="C0504D" w:themeFill="accent2"/>
          </w:tcPr>
          <w:p w:rsidR="005127E9" w:rsidRDefault="002B22AE" w:rsidP="005127E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ANEXE</w:t>
            </w:r>
          </w:p>
          <w:p w:rsidR="002B22AE" w:rsidRPr="002B22AE" w:rsidRDefault="002B22AE" w:rsidP="002B22AE">
            <w:pPr>
              <w:pStyle w:val="a8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127E9" w:rsidRPr="002B22AE" w:rsidTr="005127E9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5127E9" w:rsidRPr="002B22AE" w:rsidRDefault="005127E9" w:rsidP="00512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Anexa 1 model de pagină de titlu</w:t>
            </w:r>
          </w:p>
        </w:tc>
      </w:tr>
    </w:tbl>
    <w:p w:rsidR="002B22AE" w:rsidRDefault="002B22AE" w:rsidP="0085052E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COLEGIUL DE MEDICINĂ BĂLŢI</w:t>
      </w: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CATEDRA DISCIPLINI SOCIOUMANE</w:t>
      </w: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ASISTENT MEDICAL .....</w:t>
      </w: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GHID DIDACTICO-INFORMAŢIONAL</w:t>
      </w: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PRIVIND METODELE CU UTLIZAREA TEHNOLOGIILOR INFORMAŢIONALE ŞI COMUNICAŢIONALE LA ORELE DE CURS</w:t>
      </w: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Pr="00D27217" w:rsidRDefault="005127E9" w:rsidP="00D27217">
      <w:pPr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127E9">
        <w:rPr>
          <w:rFonts w:ascii="Times New Roman" w:hAnsi="Times New Roman" w:cs="Times New Roman"/>
          <w:b/>
          <w:sz w:val="28"/>
          <w:szCs w:val="28"/>
        </w:rPr>
        <w:t>utor:</w:t>
      </w:r>
    </w:p>
    <w:p w:rsidR="005127E9" w:rsidRDefault="005127E9" w:rsidP="005127E9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Victoria MALINOVSCHI</w:t>
      </w:r>
    </w:p>
    <w:p w:rsidR="005127E9" w:rsidRDefault="005127E9" w:rsidP="005127E9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7E9" w:rsidRDefault="005127E9" w:rsidP="005127E9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Recenzenţi:</w:t>
      </w:r>
    </w:p>
    <w:p w:rsidR="005127E9" w:rsidRDefault="005127E9" w:rsidP="005127E9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Natalia IACOVEŢ, metodist, grad didactic I</w:t>
      </w:r>
    </w:p>
    <w:p w:rsidR="009C6F80" w:rsidRDefault="009C6F80" w:rsidP="005127E9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Cristina NAGORNEAC, Sef Secţie Calitate, grad didactic II</w:t>
      </w:r>
    </w:p>
    <w:p w:rsidR="009C6F80" w:rsidRDefault="009C6F80" w:rsidP="00D27217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 în Ştiinţe ale Educaţiei</w:t>
      </w:r>
    </w:p>
    <w:p w:rsidR="009C6F80" w:rsidRDefault="009C6F80" w:rsidP="00EC296F">
      <w:pPr>
        <w:rPr>
          <w:rFonts w:ascii="Times New Roman" w:hAnsi="Times New Roman" w:cs="Times New Roman"/>
          <w:b/>
          <w:sz w:val="28"/>
          <w:szCs w:val="28"/>
        </w:rPr>
      </w:pPr>
    </w:p>
    <w:p w:rsidR="00D27217" w:rsidRDefault="00D27217" w:rsidP="00EC296F">
      <w:pPr>
        <w:rPr>
          <w:rFonts w:ascii="Times New Roman" w:hAnsi="Times New Roman" w:cs="Times New Roman"/>
          <w:b/>
          <w:sz w:val="28"/>
          <w:szCs w:val="28"/>
        </w:rPr>
      </w:pPr>
    </w:p>
    <w:p w:rsidR="009C6F80" w:rsidRDefault="009C6F80" w:rsidP="009C6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Bălţi</w:t>
      </w:r>
    </w:p>
    <w:p w:rsidR="009C6F80" w:rsidRDefault="009C6F80" w:rsidP="009C6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Octombrie 2018</w:t>
      </w:r>
    </w:p>
    <w:tbl>
      <w:tblPr>
        <w:tblStyle w:val="a3"/>
        <w:tblpPr w:leftFromText="180" w:rightFromText="180" w:vertAnchor="text" w:horzAnchor="margin" w:tblpY="-48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14344" w:rsidRPr="002B22AE" w:rsidTr="00414344">
        <w:trPr>
          <w:trHeight w:val="118"/>
        </w:trPr>
        <w:tc>
          <w:tcPr>
            <w:tcW w:w="9606" w:type="dxa"/>
            <w:shd w:val="clear" w:color="auto" w:fill="C6D9F1" w:themeFill="text2" w:themeFillTint="33"/>
          </w:tcPr>
          <w:p w:rsidR="00414344" w:rsidRPr="002B22AE" w:rsidRDefault="00414344" w:rsidP="004143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Anexa 2. Cerinţe de redactare a Surselor bibliografice</w:t>
            </w:r>
          </w:p>
        </w:tc>
      </w:tr>
    </w:tbl>
    <w:p w:rsidR="00E37D61" w:rsidRDefault="00414344" w:rsidP="00E37D6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-Roman"/>
          <w:b/>
          <w:noProof w:val="0"/>
          <w:color w:val="00000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Anexa 4.</w:t>
      </w:r>
      <w:r w:rsidRPr="00414344">
        <w:rPr>
          <w:rFonts w:ascii="Times New Roman" w:eastAsia="Times New Roman" w:hAnsi="Times New Roman" w:cs="Times-Roman"/>
          <w:noProof w:val="0"/>
          <w:color w:val="000000"/>
          <w:sz w:val="24"/>
          <w:szCs w:val="24"/>
          <w:lang w:eastAsia="ru-RU"/>
        </w:rPr>
        <w:t xml:space="preserve"> </w:t>
      </w:r>
      <w:r w:rsidR="00E37D61">
        <w:rPr>
          <w:rFonts w:ascii="Times New Roman" w:eastAsia="Times New Roman" w:hAnsi="Times New Roman" w:cs="Times-Roman"/>
          <w:b/>
          <w:noProof w:val="0"/>
          <w:color w:val="000000"/>
          <w:sz w:val="24"/>
          <w:szCs w:val="24"/>
          <w:lang w:eastAsia="ru-RU"/>
        </w:rPr>
        <w:t>Redactarea bibliografie</w:t>
      </w:r>
    </w:p>
    <w:p w:rsidR="00414344" w:rsidRPr="00E37D61" w:rsidRDefault="00414344" w:rsidP="00E37D6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-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În bibliografie se includ sursele </w:t>
      </w: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utilizate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în elaborarea lucrării: </w:t>
      </w: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</w:p>
    <w:p w:rsidR="00414344" w:rsidRPr="00414344" w:rsidRDefault="00414344" w:rsidP="00E37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Exemple de publicaţii tipărite: </w:t>
      </w:r>
    </w:p>
    <w:p w:rsidR="00414344" w:rsidRPr="00414344" w:rsidRDefault="00414344" w:rsidP="0041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</w:p>
    <w:p w:rsidR="00414344" w:rsidRPr="00414344" w:rsidRDefault="00414344" w:rsidP="0041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Carte cu un autor </w:t>
      </w:r>
    </w:p>
    <w:p w:rsidR="00414344" w:rsidRPr="00414344" w:rsidRDefault="00414344" w:rsidP="0041434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14344" w:rsidRPr="00414344" w:rsidRDefault="00414344" w:rsidP="00414344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Soulet J–F.  Istoria comparată a statelor comuniste, Bucureşti: Polirom, 1998. </w:t>
      </w:r>
    </w:p>
    <w:p w:rsidR="00414344" w:rsidRPr="00414344" w:rsidRDefault="00414344" w:rsidP="0041434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Тихомиров В.Д. Корейская проблема и международные факторы (1945 - начало 80-х годов). Москва: Вост. Литературы. 1998.</w:t>
      </w:r>
    </w:p>
    <w:p w:rsidR="00414344" w:rsidRPr="00E37D61" w:rsidRDefault="00414344" w:rsidP="0041434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Permin A., Hansen I. Epidemiology, diagnosis  and control of poultry parasites. Rome: FAO, 1998.</w:t>
      </w:r>
    </w:p>
    <w:p w:rsidR="00414344" w:rsidRPr="00414344" w:rsidRDefault="00414344" w:rsidP="0041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Carte cu mai mult de trei autori</w:t>
      </w:r>
    </w:p>
    <w:p w:rsidR="00414344" w:rsidRPr="00E37D61" w:rsidRDefault="00414344" w:rsidP="0041434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Stan N. ş. a. Tratat de legumicultură. Bucureşti: Timpul, 2004.</w:t>
      </w:r>
    </w:p>
    <w:p w:rsidR="00414344" w:rsidRPr="00414344" w:rsidRDefault="00414344" w:rsidP="0041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Articole, studii</w:t>
      </w:r>
    </w:p>
    <w:p w:rsidR="00414344" w:rsidRPr="00414344" w:rsidRDefault="00414344" w:rsidP="0041434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Chistruga M. Accesul la finanţe – constrângere la creşterea economică din Republica Moldova</w:t>
      </w:r>
      <w:r w:rsidRPr="0041434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 xml:space="preserve">, </w:t>
      </w: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În: Revista teoretico-ştiinţifică „Economie şi Sociologie”, Chişinău: Institutul de Economie, Finanţe şi Statistică, 2012, nr. 2, p. 90-98.</w:t>
      </w:r>
    </w:p>
    <w:p w:rsidR="00414344" w:rsidRPr="00414344" w:rsidRDefault="00414344" w:rsidP="0041434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Елизаветин, А., Переговоры</w:t>
      </w:r>
      <w:r w:rsidRPr="00414344">
        <w:rPr>
          <w:rFonts w:ascii="Arial Unicode MS" w:eastAsia="Arial Unicode MS" w:hAnsi="Arial Unicode MS" w:cs="Arial Unicode MS"/>
          <w:noProof w:val="0"/>
          <w:sz w:val="24"/>
          <w:szCs w:val="24"/>
          <w:lang w:eastAsia="ru-RU"/>
        </w:rPr>
        <w:t xml:space="preserve">　</w:t>
      </w: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А.Н. Косыгина</w:t>
      </w:r>
      <w:r w:rsidRPr="00414344">
        <w:rPr>
          <w:rFonts w:ascii="Arial Unicode MS" w:eastAsia="Arial Unicode MS" w:hAnsi="Arial Unicode MS" w:cs="Arial Unicode MS"/>
          <w:noProof w:val="0"/>
          <w:sz w:val="24"/>
          <w:szCs w:val="24"/>
          <w:lang w:eastAsia="ru-RU"/>
        </w:rPr>
        <w:t xml:space="preserve">　</w:t>
      </w: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</w:t>
      </w:r>
      <w:r w:rsidRPr="00414344">
        <w:rPr>
          <w:rFonts w:ascii="Arial Unicode MS" w:eastAsia="Arial Unicode MS" w:hAnsi="Arial Unicode MS" w:cs="Arial Unicode MS"/>
          <w:noProof w:val="0"/>
          <w:sz w:val="24"/>
          <w:szCs w:val="24"/>
          <w:lang w:eastAsia="ru-RU"/>
        </w:rPr>
        <w:t xml:space="preserve">　</w:t>
      </w: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Чжоу</w:t>
      </w:r>
      <w:r w:rsidRPr="00414344">
        <w:rPr>
          <w:rFonts w:ascii="Arial Unicode MS" w:eastAsia="Arial Unicode MS" w:hAnsi="Arial Unicode MS" w:cs="Arial Unicode MS"/>
          <w:noProof w:val="0"/>
          <w:sz w:val="24"/>
          <w:szCs w:val="24"/>
          <w:lang w:eastAsia="ru-RU"/>
        </w:rPr>
        <w:t xml:space="preserve">　</w:t>
      </w: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Эньлая</w:t>
      </w:r>
      <w:r w:rsidRPr="00414344">
        <w:rPr>
          <w:rFonts w:ascii="Arial Unicode MS" w:eastAsia="Arial Unicode MS" w:hAnsi="Arial Unicode MS" w:cs="Arial Unicode MS"/>
          <w:noProof w:val="0"/>
          <w:sz w:val="24"/>
          <w:szCs w:val="24"/>
          <w:lang w:eastAsia="ru-RU"/>
        </w:rPr>
        <w:t xml:space="preserve">　</w:t>
      </w: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</w:t>
      </w:r>
      <w:r w:rsidRPr="00414344">
        <w:rPr>
          <w:rFonts w:ascii="Arial Unicode MS" w:eastAsia="Arial Unicode MS" w:hAnsi="Arial Unicode MS" w:cs="Arial Unicode MS"/>
          <w:noProof w:val="0"/>
          <w:sz w:val="24"/>
          <w:szCs w:val="24"/>
          <w:lang w:eastAsia="ru-RU"/>
        </w:rPr>
        <w:t xml:space="preserve">　</w:t>
      </w: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Пекинском</w:t>
      </w:r>
      <w:r w:rsidRPr="00414344">
        <w:rPr>
          <w:rFonts w:ascii="Arial Unicode MS" w:eastAsia="Arial Unicode MS" w:hAnsi="Arial Unicode MS" w:cs="Arial Unicode MS"/>
          <w:noProof w:val="0"/>
          <w:sz w:val="24"/>
          <w:szCs w:val="24"/>
          <w:lang w:eastAsia="ru-RU"/>
        </w:rPr>
        <w:t xml:space="preserve">　</w:t>
      </w: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Аэропорту. În: Проблемы Дальнего Востока, 1992,  №5, pp. 44-62.</w:t>
      </w:r>
    </w:p>
    <w:p w:rsidR="00414344" w:rsidRPr="00E37D61" w:rsidRDefault="00414344" w:rsidP="0041434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Rurac M. Influenţa prelucrării de bază a solului asupra unor însuşiri fizice. În: Culegere de lucrări ştiinţifice a  Universităţii Agrare de Stat din Moldova, 2001, vol. 9, p. 95-99.</w:t>
      </w:r>
    </w:p>
    <w:p w:rsidR="00414344" w:rsidRPr="00414344" w:rsidRDefault="00414344" w:rsidP="0041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="00E37D6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Alte sur</w:t>
      </w:r>
      <w:r w:rsidRPr="0041434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se</w:t>
      </w:r>
    </w:p>
    <w:p w:rsidR="00414344" w:rsidRPr="00414344" w:rsidRDefault="00414344" w:rsidP="0041434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Codul cu privire la ştiinţă şi inovare al Republicii Moldova. nr. 259-xv din 15 iulie 2004. în: Monitorul Oficial al Republicii Moldova, 30.07.2004, nr.125-129 (1479-1483).  </w:t>
      </w:r>
    </w:p>
    <w:p w:rsidR="00414344" w:rsidRPr="00414344" w:rsidRDefault="00414344" w:rsidP="0041434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Anuarul statistic al Republicii Moldova. Chişinău, 2005.</w:t>
      </w:r>
    </w:p>
    <w:p w:rsidR="00414344" w:rsidRPr="00414344" w:rsidRDefault="00414344" w:rsidP="00414344">
      <w:pPr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eastAsia="Times New Roman" w:hAnsi="Times New Roman" w:cs="Arial"/>
          <w:bCs/>
          <w:noProof w:val="0"/>
          <w:kern w:val="32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Arial"/>
          <w:bCs/>
          <w:noProof w:val="0"/>
          <w:kern w:val="32"/>
          <w:sz w:val="24"/>
          <w:szCs w:val="24"/>
          <w:lang w:eastAsia="ru-RU"/>
        </w:rPr>
        <w:t>Chairman Mao Talks to the People: Talks and Letters. 1956-1971. New York: Pantheon Books, 1974.</w:t>
      </w:r>
    </w:p>
    <w:p w:rsidR="00414344" w:rsidRPr="00414344" w:rsidRDefault="00414344" w:rsidP="00E37D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414344" w:rsidRPr="00414344" w:rsidRDefault="00414344" w:rsidP="004143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Resurse internet</w:t>
      </w:r>
    </w:p>
    <w:p w:rsidR="005127E9" w:rsidRPr="00E37D61" w:rsidRDefault="00414344" w:rsidP="00E37D6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Zubok Vladislav M.</w:t>
      </w:r>
      <w:r w:rsidRPr="00414344">
        <w:rPr>
          <w:rFonts w:ascii="Cambria" w:eastAsia="MS Mincho" w:hAnsi="Cambria" w:cs="Times New Roman"/>
          <w:b/>
          <w:bCs/>
          <w:iCs/>
          <w:noProof w:val="0"/>
          <w:kern w:val="32"/>
          <w:sz w:val="32"/>
          <w:szCs w:val="32"/>
          <w:lang w:eastAsia="ja-JP"/>
        </w:rPr>
        <w:t xml:space="preserve"> </w:t>
      </w:r>
      <w:r w:rsidRPr="00414344"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  <w:t xml:space="preserve">The Khrushchev - Mao Conversations, 31 July - 3 August 1958 and 2 October 1959. In: </w:t>
      </w: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CWIHP </w:t>
      </w:r>
      <w:r w:rsidRPr="00414344"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ru-RU"/>
        </w:rPr>
        <w:t>Bulletin</w:t>
      </w: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 12/13, Fall/Winter 2001, p. 244-272. </w:t>
      </w:r>
      <w:r w:rsidRPr="0041434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http://www.wilsoncenter.org/topics/pubs/New_Ev_CWAsia.pdf </w:t>
      </w:r>
      <w:r w:rsidRPr="0041434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(vizitat 15.03.2008</w:t>
      </w:r>
      <w:r w:rsidRPr="0041434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)</w:t>
      </w:r>
      <w:r w:rsidR="00E37D6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sectPr w:rsidR="005127E9" w:rsidRPr="00E37D61" w:rsidSect="0085052E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5A" w:rsidRDefault="008A105A" w:rsidP="0085052E">
      <w:pPr>
        <w:spacing w:after="0" w:line="240" w:lineRule="auto"/>
      </w:pPr>
      <w:r>
        <w:separator/>
      </w:r>
    </w:p>
  </w:endnote>
  <w:endnote w:type="continuationSeparator" w:id="0">
    <w:p w:rsidR="008A105A" w:rsidRDefault="008A105A" w:rsidP="0085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728113"/>
      <w:docPartObj>
        <w:docPartGallery w:val="Page Numbers (Bottom of Page)"/>
        <w:docPartUnique/>
      </w:docPartObj>
    </w:sdtPr>
    <w:sdtEndPr/>
    <w:sdtContent>
      <w:p w:rsidR="00D27217" w:rsidRDefault="00D272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CA" w:rsidRPr="002911CA">
          <w:rPr>
            <w:lang w:val="ru-RU"/>
          </w:rPr>
          <w:t>2</w:t>
        </w:r>
        <w:r>
          <w:fldChar w:fldCharType="end"/>
        </w:r>
      </w:p>
    </w:sdtContent>
  </w:sdt>
  <w:p w:rsidR="00D27217" w:rsidRDefault="00D27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5A" w:rsidRDefault="008A105A" w:rsidP="0085052E">
      <w:pPr>
        <w:spacing w:after="0" w:line="240" w:lineRule="auto"/>
      </w:pPr>
      <w:r>
        <w:separator/>
      </w:r>
    </w:p>
  </w:footnote>
  <w:footnote w:type="continuationSeparator" w:id="0">
    <w:p w:rsidR="008A105A" w:rsidRDefault="008A105A" w:rsidP="0085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75E"/>
    <w:multiLevelType w:val="hybridMultilevel"/>
    <w:tmpl w:val="0E02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3FE"/>
    <w:multiLevelType w:val="hybridMultilevel"/>
    <w:tmpl w:val="62F60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D47EA"/>
    <w:multiLevelType w:val="hybridMultilevel"/>
    <w:tmpl w:val="7928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A6F"/>
    <w:multiLevelType w:val="hybridMultilevel"/>
    <w:tmpl w:val="0846B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6482"/>
    <w:multiLevelType w:val="hybridMultilevel"/>
    <w:tmpl w:val="0846B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59CC"/>
    <w:multiLevelType w:val="hybridMultilevel"/>
    <w:tmpl w:val="6B8A280A"/>
    <w:lvl w:ilvl="0" w:tplc="E304BA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6B1"/>
    <w:multiLevelType w:val="hybridMultilevel"/>
    <w:tmpl w:val="69D6D3C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0FF1B69"/>
    <w:multiLevelType w:val="hybridMultilevel"/>
    <w:tmpl w:val="5D143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D10F75"/>
    <w:multiLevelType w:val="hybridMultilevel"/>
    <w:tmpl w:val="3A342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697FDB"/>
    <w:multiLevelType w:val="hybridMultilevel"/>
    <w:tmpl w:val="97725E6C"/>
    <w:lvl w:ilvl="0" w:tplc="E304BA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02E2"/>
    <w:multiLevelType w:val="hybridMultilevel"/>
    <w:tmpl w:val="533C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3618"/>
    <w:multiLevelType w:val="hybridMultilevel"/>
    <w:tmpl w:val="B48E1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202D5"/>
    <w:multiLevelType w:val="hybridMultilevel"/>
    <w:tmpl w:val="573C1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DB692C"/>
    <w:multiLevelType w:val="hybridMultilevel"/>
    <w:tmpl w:val="85DEF840"/>
    <w:lvl w:ilvl="0" w:tplc="04190015">
      <w:start w:val="1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51706E70"/>
    <w:multiLevelType w:val="hybridMultilevel"/>
    <w:tmpl w:val="69FC7CA0"/>
    <w:lvl w:ilvl="0" w:tplc="9C1C7A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43CF"/>
    <w:multiLevelType w:val="hybridMultilevel"/>
    <w:tmpl w:val="2A742958"/>
    <w:lvl w:ilvl="0" w:tplc="E304BA7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DF36E5"/>
    <w:multiLevelType w:val="hybridMultilevel"/>
    <w:tmpl w:val="77C64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0B4250"/>
    <w:multiLevelType w:val="hybridMultilevel"/>
    <w:tmpl w:val="4D728E7C"/>
    <w:lvl w:ilvl="0" w:tplc="E304BA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430799"/>
    <w:multiLevelType w:val="hybridMultilevel"/>
    <w:tmpl w:val="308242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80BAA"/>
    <w:multiLevelType w:val="hybridMultilevel"/>
    <w:tmpl w:val="73424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473282"/>
    <w:multiLevelType w:val="hybridMultilevel"/>
    <w:tmpl w:val="0846B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77299"/>
    <w:multiLevelType w:val="hybridMultilevel"/>
    <w:tmpl w:val="0846B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E053E"/>
    <w:multiLevelType w:val="hybridMultilevel"/>
    <w:tmpl w:val="0846B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50EEB"/>
    <w:multiLevelType w:val="hybridMultilevel"/>
    <w:tmpl w:val="0846B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F1FD0"/>
    <w:multiLevelType w:val="hybridMultilevel"/>
    <w:tmpl w:val="2768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6003A"/>
    <w:multiLevelType w:val="hybridMultilevel"/>
    <w:tmpl w:val="C93E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B96657"/>
    <w:multiLevelType w:val="hybridMultilevel"/>
    <w:tmpl w:val="AB2C4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27344"/>
    <w:multiLevelType w:val="hybridMultilevel"/>
    <w:tmpl w:val="E048BF3A"/>
    <w:lvl w:ilvl="0" w:tplc="E304BA7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304BA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AB4281"/>
    <w:multiLevelType w:val="hybridMultilevel"/>
    <w:tmpl w:val="0846B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21"/>
  </w:num>
  <w:num w:numId="5">
    <w:abstractNumId w:val="3"/>
  </w:num>
  <w:num w:numId="6">
    <w:abstractNumId w:val="22"/>
  </w:num>
  <w:num w:numId="7">
    <w:abstractNumId w:val="20"/>
  </w:num>
  <w:num w:numId="8">
    <w:abstractNumId w:val="23"/>
  </w:num>
  <w:num w:numId="9">
    <w:abstractNumId w:val="0"/>
  </w:num>
  <w:num w:numId="10">
    <w:abstractNumId w:val="17"/>
  </w:num>
  <w:num w:numId="11">
    <w:abstractNumId w:val="24"/>
  </w:num>
  <w:num w:numId="12">
    <w:abstractNumId w:val="1"/>
  </w:num>
  <w:num w:numId="13">
    <w:abstractNumId w:val="12"/>
  </w:num>
  <w:num w:numId="14">
    <w:abstractNumId w:val="11"/>
  </w:num>
  <w:num w:numId="15">
    <w:abstractNumId w:val="27"/>
  </w:num>
  <w:num w:numId="16">
    <w:abstractNumId w:val="28"/>
  </w:num>
  <w:num w:numId="17">
    <w:abstractNumId w:val="4"/>
  </w:num>
  <w:num w:numId="18">
    <w:abstractNumId w:val="5"/>
  </w:num>
  <w:num w:numId="19">
    <w:abstractNumId w:val="15"/>
  </w:num>
  <w:num w:numId="20">
    <w:abstractNumId w:val="16"/>
  </w:num>
  <w:num w:numId="21">
    <w:abstractNumId w:val="19"/>
  </w:num>
  <w:num w:numId="22">
    <w:abstractNumId w:val="7"/>
  </w:num>
  <w:num w:numId="23">
    <w:abstractNumId w:val="25"/>
  </w:num>
  <w:num w:numId="24">
    <w:abstractNumId w:val="8"/>
  </w:num>
  <w:num w:numId="25">
    <w:abstractNumId w:val="10"/>
  </w:num>
  <w:num w:numId="26">
    <w:abstractNumId w:val="2"/>
  </w:num>
  <w:num w:numId="27">
    <w:abstractNumId w:val="6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EA"/>
    <w:rsid w:val="00064AFD"/>
    <w:rsid w:val="000672EA"/>
    <w:rsid w:val="001B0EC9"/>
    <w:rsid w:val="001D2BF2"/>
    <w:rsid w:val="001E251D"/>
    <w:rsid w:val="002911CA"/>
    <w:rsid w:val="002B22AE"/>
    <w:rsid w:val="002D42CB"/>
    <w:rsid w:val="003C4D59"/>
    <w:rsid w:val="003E7F9D"/>
    <w:rsid w:val="00414344"/>
    <w:rsid w:val="0044773E"/>
    <w:rsid w:val="005127E9"/>
    <w:rsid w:val="006B07E6"/>
    <w:rsid w:val="007D2EB3"/>
    <w:rsid w:val="0085052E"/>
    <w:rsid w:val="00857AFF"/>
    <w:rsid w:val="008A105A"/>
    <w:rsid w:val="00991AD8"/>
    <w:rsid w:val="009C6F80"/>
    <w:rsid w:val="009D0B8D"/>
    <w:rsid w:val="00CB38ED"/>
    <w:rsid w:val="00D27217"/>
    <w:rsid w:val="00D370C2"/>
    <w:rsid w:val="00D70F98"/>
    <w:rsid w:val="00E15871"/>
    <w:rsid w:val="00E37D61"/>
    <w:rsid w:val="00EC296F"/>
    <w:rsid w:val="00F0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9EDD"/>
  <w15:docId w15:val="{7C8BB8E3-9C80-4D05-BB9E-51C8A5FE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52E"/>
    <w:rPr>
      <w:noProof/>
      <w:lang w:val="ro-RO"/>
    </w:rPr>
  </w:style>
  <w:style w:type="paragraph" w:styleId="a6">
    <w:name w:val="footer"/>
    <w:basedOn w:val="a"/>
    <w:link w:val="a7"/>
    <w:uiPriority w:val="99"/>
    <w:unhideWhenUsed/>
    <w:rsid w:val="008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52E"/>
    <w:rPr>
      <w:noProof/>
      <w:lang w:val="ro-RO"/>
    </w:rPr>
  </w:style>
  <w:style w:type="paragraph" w:styleId="a8">
    <w:name w:val="List Paragraph"/>
    <w:basedOn w:val="a"/>
    <w:uiPriority w:val="34"/>
    <w:qFormat/>
    <w:rsid w:val="008505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AD8"/>
    <w:rPr>
      <w:rFonts w:ascii="Tahoma" w:hAnsi="Tahoma" w:cs="Tahoma"/>
      <w:noProof/>
      <w:sz w:val="16"/>
      <w:szCs w:val="16"/>
      <w:lang w:val="ro-RO"/>
    </w:rPr>
  </w:style>
  <w:style w:type="character" w:styleId="ab">
    <w:name w:val="Hyperlink"/>
    <w:basedOn w:val="a0"/>
    <w:uiPriority w:val="99"/>
    <w:unhideWhenUsed/>
    <w:rsid w:val="00D27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c.gov.md/sites/default/files/document/attachments/codul_de_etica_ro_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law.md/2017/05/15/ce-facem-cu-plagiatul-cum-se-pedepses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culturel.org/wp-content/uploads/2015/03/GHID-ELABORARE-LUCRARI-STIINTIFI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justice.md/index.php?action=view&amp;view=doc&amp;lang=1&amp;id=336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1FDC-6051-4062-8E98-23E83683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2018-10-18T11:32:00Z</cp:lastPrinted>
  <dcterms:created xsi:type="dcterms:W3CDTF">2020-07-21T12:31:00Z</dcterms:created>
  <dcterms:modified xsi:type="dcterms:W3CDTF">2020-07-21T12:31:00Z</dcterms:modified>
</cp:coreProperties>
</file>